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30371D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0EAFCB7B" w:rsidR="0072450B" w:rsidRPr="009110E9" w:rsidRDefault="000976B4" w:rsidP="0030371D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  <w:r w:rsidRPr="000976B4"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1039ED2E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A801B0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6E14D8">
              <w:rPr>
                <w:rFonts w:cs="Times New Roman"/>
              </w:rPr>
              <w:t>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i </w:t>
            </w:r>
            <w:r w:rsidR="0081670F">
              <w:rPr>
                <w:rFonts w:cs="Times New Roman"/>
              </w:rPr>
              <w:t>szafę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78A57DDC" w14:textId="77777777" w:rsidR="005B23F0" w:rsidRDefault="005B23F0" w:rsidP="005B23F0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7FDA5B20" w14:textId="77777777" w:rsidR="005B23F0" w:rsidRPr="002C46D4" w:rsidRDefault="005B23F0" w:rsidP="005B23F0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5618FD4D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szaf</w:t>
      </w:r>
      <w:r w:rsidR="00DF126D">
        <w:t>ę telemechaniki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074AFA39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CF13B0">
        <w:rPr>
          <w:rFonts w:ascii="Calibri" w:eastAsia="Calibri" w:hAnsi="Calibri" w:cs="Times New Roman"/>
        </w:rPr>
        <w:t>KK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C20C74">
        <w:rPr>
          <w:rFonts w:ascii="Calibri" w:eastAsia="Calibri" w:hAnsi="Calibri" w:cs="Times New Roman"/>
        </w:rPr>
        <w:t xml:space="preserve"> </w:t>
      </w:r>
      <w:r w:rsidR="00C20C74" w:rsidRPr="00C20C74">
        <w:rPr>
          <w:rFonts w:ascii="Calibri" w:eastAsia="Calibri" w:hAnsi="Calibri" w:cs="Times New Roman"/>
        </w:rPr>
        <w:t xml:space="preserve">o izolacji </w:t>
      </w:r>
      <w:proofErr w:type="spellStart"/>
      <w:r w:rsidR="00C20C74" w:rsidRPr="00C20C74">
        <w:rPr>
          <w:rFonts w:ascii="Calibri" w:eastAsia="Calibri" w:hAnsi="Calibri" w:cs="Times New Roman"/>
        </w:rPr>
        <w:t>stałopowietrzn</w:t>
      </w:r>
      <w:r w:rsidR="00C20C74">
        <w:rPr>
          <w:rFonts w:ascii="Calibri" w:eastAsia="Calibri" w:hAnsi="Calibri" w:cs="Times New Roman"/>
        </w:rPr>
        <w:t>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CF13B0">
        <w:rPr>
          <w:rFonts w:ascii="Calibri" w:eastAsia="Calibri" w:hAnsi="Calibri" w:cs="Times New Roman"/>
        </w:rPr>
        <w:t>5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159B19A8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="00CF13B0">
        <w:rPr>
          <w:rFonts w:ascii="Calibri" w:eastAsia="Calibri" w:hAnsi="Calibri" w:cs="Times New Roman"/>
        </w:rPr>
        <w:t>, 4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 </w:t>
      </w:r>
      <w:r w:rsidR="00DF126D">
        <w:rPr>
          <w:rFonts w:ascii="Calibri" w:eastAsia="Calibri" w:hAnsi="Calibri" w:cs="Times New Roman"/>
        </w:rPr>
        <w:t xml:space="preserve">oraz sensory prądowe i napięciowe. </w:t>
      </w:r>
    </w:p>
    <w:p w14:paraId="5593EED4" w14:textId="6E834492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CF13B0">
        <w:rPr>
          <w:rFonts w:ascii="Calibri" w:eastAsia="Calibri" w:hAnsi="Calibri" w:cs="Times New Roman"/>
        </w:rPr>
        <w:t>5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1CB2F42D" w:rsidR="00BD41AC" w:rsidRPr="00BD41AC" w:rsidRDefault="00DF126D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>Szafka telemechaniki</w:t>
      </w:r>
    </w:p>
    <w:p w14:paraId="7DDD206D" w14:textId="42652B03" w:rsidR="00DF126D" w:rsidRPr="00DF126D" w:rsidRDefault="00DF126D" w:rsidP="00DF126D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  <w:bookmarkStart w:id="36" w:name="_Toc153954104"/>
      <w:r w:rsidRPr="00DF126D">
        <w:rPr>
          <w:rFonts w:ascii="Calibri" w:eastAsia="Times New Roman" w:hAnsi="Calibri" w:cs="Calibri"/>
          <w:szCs w:val="20"/>
          <w:lang w:eastAsia="pl-PL"/>
        </w:rPr>
        <w:t>Stacja wyposażona jest w szafę telemechaniki umożliwiającą starowanie napędami w polach rozdzielnicy SN oraz nadzór nad stanem urządzeń w stacji. W szafce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 siłownia 24VDC.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059931BC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</w:t>
            </w:r>
            <w:r w:rsidR="00AE6EAB">
              <w:rPr>
                <w:szCs w:val="24"/>
              </w:rPr>
              <w:t>ę telemechaniki,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6115AF8B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791CEEE9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6301BE">
        <w:t xml:space="preserve"> oraz r</w:t>
      </w:r>
      <w:r w:rsidR="00A73C9F">
        <w:t>o</w:t>
      </w:r>
      <w:r w:rsidR="006301BE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73C8" w14:textId="77777777" w:rsidR="00382E10" w:rsidRDefault="00382E10" w:rsidP="00244B4D">
      <w:pPr>
        <w:spacing w:after="0" w:line="240" w:lineRule="auto"/>
      </w:pPr>
      <w:r>
        <w:separator/>
      </w:r>
    </w:p>
  </w:endnote>
  <w:endnote w:type="continuationSeparator" w:id="0">
    <w:p w14:paraId="2DD17B57" w14:textId="77777777" w:rsidR="00382E10" w:rsidRDefault="00382E10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04F8" w14:textId="77777777" w:rsidR="00382E10" w:rsidRDefault="00382E10" w:rsidP="00244B4D">
      <w:pPr>
        <w:spacing w:after="0" w:line="240" w:lineRule="auto"/>
      </w:pPr>
      <w:r>
        <w:separator/>
      </w:r>
    </w:p>
  </w:footnote>
  <w:footnote w:type="continuationSeparator" w:id="0">
    <w:p w14:paraId="1E189811" w14:textId="77777777" w:rsidR="00382E10" w:rsidRDefault="00382E10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A631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2CAF"/>
    <w:rsid w:val="000F67F6"/>
    <w:rsid w:val="00124650"/>
    <w:rsid w:val="0012681C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56CE"/>
    <w:rsid w:val="001C1480"/>
    <w:rsid w:val="001C3A82"/>
    <w:rsid w:val="001C42C1"/>
    <w:rsid w:val="001C4EE0"/>
    <w:rsid w:val="001D318D"/>
    <w:rsid w:val="001D361F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21E6"/>
    <w:rsid w:val="00285088"/>
    <w:rsid w:val="00286878"/>
    <w:rsid w:val="00291FFF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371D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14D0"/>
    <w:rsid w:val="00356ACC"/>
    <w:rsid w:val="00356E61"/>
    <w:rsid w:val="00364265"/>
    <w:rsid w:val="003670AF"/>
    <w:rsid w:val="00367694"/>
    <w:rsid w:val="00371AA7"/>
    <w:rsid w:val="00382E10"/>
    <w:rsid w:val="003857A9"/>
    <w:rsid w:val="00391675"/>
    <w:rsid w:val="003973E2"/>
    <w:rsid w:val="003A4D11"/>
    <w:rsid w:val="003A55EB"/>
    <w:rsid w:val="003A732A"/>
    <w:rsid w:val="003B7D4D"/>
    <w:rsid w:val="003C20A0"/>
    <w:rsid w:val="003D5B6C"/>
    <w:rsid w:val="003E675C"/>
    <w:rsid w:val="003F0633"/>
    <w:rsid w:val="00412A42"/>
    <w:rsid w:val="00413828"/>
    <w:rsid w:val="00414656"/>
    <w:rsid w:val="00417BF8"/>
    <w:rsid w:val="004225E4"/>
    <w:rsid w:val="00422E42"/>
    <w:rsid w:val="0042503B"/>
    <w:rsid w:val="00425574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23F0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13FEF"/>
    <w:rsid w:val="0062183B"/>
    <w:rsid w:val="006301BE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A3435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08A6"/>
    <w:rsid w:val="00723926"/>
    <w:rsid w:val="0072450B"/>
    <w:rsid w:val="0074234D"/>
    <w:rsid w:val="007454E6"/>
    <w:rsid w:val="007520F5"/>
    <w:rsid w:val="0075722E"/>
    <w:rsid w:val="0076637E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1B79"/>
    <w:rsid w:val="008043C3"/>
    <w:rsid w:val="00811E14"/>
    <w:rsid w:val="0081422F"/>
    <w:rsid w:val="008142A5"/>
    <w:rsid w:val="0081472E"/>
    <w:rsid w:val="0081670F"/>
    <w:rsid w:val="00817146"/>
    <w:rsid w:val="00827E52"/>
    <w:rsid w:val="008304C2"/>
    <w:rsid w:val="008357D8"/>
    <w:rsid w:val="008366B1"/>
    <w:rsid w:val="00845D1A"/>
    <w:rsid w:val="008551E3"/>
    <w:rsid w:val="00860EA4"/>
    <w:rsid w:val="00861290"/>
    <w:rsid w:val="00861A2C"/>
    <w:rsid w:val="00864CEB"/>
    <w:rsid w:val="00871B6C"/>
    <w:rsid w:val="008732BF"/>
    <w:rsid w:val="00880C95"/>
    <w:rsid w:val="0089050B"/>
    <w:rsid w:val="00891837"/>
    <w:rsid w:val="008928BF"/>
    <w:rsid w:val="008948BB"/>
    <w:rsid w:val="008A2E32"/>
    <w:rsid w:val="008A38CF"/>
    <w:rsid w:val="008A44A8"/>
    <w:rsid w:val="008A480C"/>
    <w:rsid w:val="008A67F8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3239B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73C9F"/>
    <w:rsid w:val="00A801B0"/>
    <w:rsid w:val="00A86ED3"/>
    <w:rsid w:val="00A97EBE"/>
    <w:rsid w:val="00AA410A"/>
    <w:rsid w:val="00AB026B"/>
    <w:rsid w:val="00AB0B0A"/>
    <w:rsid w:val="00AB7D36"/>
    <w:rsid w:val="00AC364B"/>
    <w:rsid w:val="00AE55E2"/>
    <w:rsid w:val="00AE6EAB"/>
    <w:rsid w:val="00AE7216"/>
    <w:rsid w:val="00AE781C"/>
    <w:rsid w:val="00AF0CD0"/>
    <w:rsid w:val="00B06141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54EEE"/>
    <w:rsid w:val="00B62927"/>
    <w:rsid w:val="00B77568"/>
    <w:rsid w:val="00B809D6"/>
    <w:rsid w:val="00B84AEF"/>
    <w:rsid w:val="00B92E56"/>
    <w:rsid w:val="00B95707"/>
    <w:rsid w:val="00BA0B18"/>
    <w:rsid w:val="00BA222F"/>
    <w:rsid w:val="00BA4FEB"/>
    <w:rsid w:val="00BB5862"/>
    <w:rsid w:val="00BC3355"/>
    <w:rsid w:val="00BC5F58"/>
    <w:rsid w:val="00BD0E77"/>
    <w:rsid w:val="00BD251D"/>
    <w:rsid w:val="00BD41AC"/>
    <w:rsid w:val="00BF2B33"/>
    <w:rsid w:val="00C15678"/>
    <w:rsid w:val="00C15FF6"/>
    <w:rsid w:val="00C16521"/>
    <w:rsid w:val="00C20C74"/>
    <w:rsid w:val="00C21408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4BCB"/>
    <w:rsid w:val="00D279AE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E775D"/>
    <w:rsid w:val="00DF0188"/>
    <w:rsid w:val="00DF126D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5654"/>
    <w:rsid w:val="00EE73C3"/>
    <w:rsid w:val="00F12501"/>
    <w:rsid w:val="00F16C0D"/>
    <w:rsid w:val="00F3013E"/>
    <w:rsid w:val="00F30330"/>
    <w:rsid w:val="00F34C06"/>
    <w:rsid w:val="00F3733F"/>
    <w:rsid w:val="00F479D0"/>
    <w:rsid w:val="00F64C4B"/>
    <w:rsid w:val="00F65EEB"/>
    <w:rsid w:val="00F74126"/>
    <w:rsid w:val="00F741C8"/>
    <w:rsid w:val="00F80C32"/>
    <w:rsid w:val="00F87E52"/>
    <w:rsid w:val="00F93B94"/>
    <w:rsid w:val="00F97A21"/>
    <w:rsid w:val="00FA04B8"/>
    <w:rsid w:val="00FB3165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2566</Words>
  <Characters>15401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4</cp:revision>
  <cp:lastPrinted>2021-04-20T05:08:00Z</cp:lastPrinted>
  <dcterms:created xsi:type="dcterms:W3CDTF">2025-09-23T07:28:00Z</dcterms:created>
  <dcterms:modified xsi:type="dcterms:W3CDTF">2025-11-20T08:25:00Z</dcterms:modified>
</cp:coreProperties>
</file>